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503"/>
        <w:gridCol w:w="425"/>
        <w:gridCol w:w="4677"/>
      </w:tblGrid>
      <w:tr w:rsidR="005D5EA5">
        <w:trPr>
          <w:trHeight w:val="1702"/>
        </w:trPr>
        <w:tc>
          <w:tcPr>
            <w:tcW w:w="4503" w:type="dxa"/>
          </w:tcPr>
          <w:p w:rsidR="005D5EA5" w:rsidRDefault="00B80DDB">
            <w:pPr>
              <w:jc w:val="center"/>
              <w:rPr>
                <w:b/>
                <w:sz w:val="28"/>
              </w:rPr>
            </w:pPr>
            <w:r>
              <w:rPr>
                <w:b/>
                <w:sz w:val="28"/>
              </w:rPr>
              <w:t>МIНICТЭРСТВА АНТЫМАНАПОЛЬНАГА     РЭГУЛЯВАННЯ I ГАНДЛЮ</w:t>
            </w:r>
          </w:p>
          <w:p w:rsidR="005D5EA5" w:rsidRDefault="00B80DDB">
            <w:pPr>
              <w:pStyle w:val="10"/>
              <w:ind w:left="-142" w:right="67" w:firstLine="142"/>
              <w:jc w:val="center"/>
              <w:rPr>
                <w:sz w:val="24"/>
              </w:rPr>
            </w:pPr>
            <w:r>
              <w:t>РЭСПУБЛIКI БЕЛАРУСЬ</w:t>
            </w:r>
          </w:p>
          <w:p w:rsidR="005D5EA5" w:rsidRDefault="00B80DDB">
            <w:pPr>
              <w:jc w:val="center"/>
              <w:rPr>
                <w:spacing w:val="-2"/>
                <w:sz w:val="16"/>
              </w:rPr>
            </w:pPr>
            <w:r>
              <w:rPr>
                <w:spacing w:val="-2"/>
                <w:sz w:val="16"/>
              </w:rPr>
              <w:t>вул. Kipaвa, 8, корп.1, 220030, г. Miнск</w:t>
            </w:r>
          </w:p>
          <w:p w:rsidR="005D5EA5" w:rsidRDefault="00B80DDB">
            <w:pPr>
              <w:jc w:val="center"/>
              <w:rPr>
                <w:sz w:val="16"/>
              </w:rPr>
            </w:pPr>
            <w:r>
              <w:rPr>
                <w:sz w:val="16"/>
              </w:rPr>
              <w:t>тэл. (+375 17) 327 48 02, факс (+375 17) 327 24 80</w:t>
            </w:r>
          </w:p>
          <w:p w:rsidR="005D5EA5" w:rsidRPr="006A1BEF" w:rsidRDefault="00B80DDB">
            <w:pPr>
              <w:jc w:val="center"/>
              <w:rPr>
                <w:rFonts w:ascii="Arial" w:hAnsi="Arial"/>
                <w:sz w:val="16"/>
                <w:lang w:val="en-US"/>
              </w:rPr>
            </w:pPr>
            <w:r w:rsidRPr="006A1BEF">
              <w:rPr>
                <w:sz w:val="16"/>
                <w:lang w:val="en-US"/>
              </w:rPr>
              <w:t>e-mail: mail@mart.gov.by</w:t>
            </w:r>
          </w:p>
          <w:p w:rsidR="005D5EA5" w:rsidRDefault="00B80DDB">
            <w:pPr>
              <w:jc w:val="center"/>
              <w:rPr>
                <w:b/>
                <w:sz w:val="28"/>
              </w:rPr>
            </w:pPr>
            <w:r>
              <w:rPr>
                <w:sz w:val="16"/>
              </w:rPr>
              <w:t>www.mart.gov.by</w:t>
            </w:r>
          </w:p>
          <w:p w:rsidR="005D5EA5" w:rsidRDefault="005D5EA5">
            <w:pPr>
              <w:ind w:left="-142" w:right="67" w:firstLine="284"/>
              <w:rPr>
                <w:sz w:val="24"/>
              </w:rPr>
            </w:pPr>
          </w:p>
        </w:tc>
        <w:tc>
          <w:tcPr>
            <w:tcW w:w="425" w:type="dxa"/>
          </w:tcPr>
          <w:p w:rsidR="005D5EA5" w:rsidRDefault="005D5EA5">
            <w:pPr>
              <w:ind w:left="-142" w:right="67" w:firstLine="142"/>
              <w:jc w:val="center"/>
            </w:pPr>
          </w:p>
        </w:tc>
        <w:tc>
          <w:tcPr>
            <w:tcW w:w="4677" w:type="dxa"/>
          </w:tcPr>
          <w:p w:rsidR="005D5EA5" w:rsidRDefault="00B80DDB">
            <w:pPr>
              <w:ind w:left="-250" w:right="-250"/>
              <w:jc w:val="center"/>
              <w:rPr>
                <w:sz w:val="16"/>
              </w:rPr>
            </w:pPr>
            <w:r>
              <w:rPr>
                <w:b/>
                <w:sz w:val="28"/>
              </w:rPr>
              <w:t>МИНИCТЕРСТВО АНТИМОНОПОЛЬНОГО РЕГУЛИРОВАНИЯ И ТОРГОВЛИ</w:t>
            </w:r>
          </w:p>
          <w:p w:rsidR="005D5EA5" w:rsidRDefault="00B80DDB">
            <w:pPr>
              <w:ind w:left="-284" w:right="-108"/>
              <w:jc w:val="center"/>
              <w:rPr>
                <w:b/>
                <w:sz w:val="28"/>
              </w:rPr>
            </w:pPr>
            <w:r>
              <w:rPr>
                <w:b/>
                <w:sz w:val="28"/>
              </w:rPr>
              <w:t>РЕСПУБЛИКИ БЕЛАРУСЬ</w:t>
            </w:r>
          </w:p>
          <w:p w:rsidR="005D5EA5" w:rsidRDefault="00B80DDB">
            <w:pPr>
              <w:ind w:left="-284"/>
              <w:jc w:val="center"/>
              <w:rPr>
                <w:sz w:val="16"/>
              </w:rPr>
            </w:pPr>
            <w:r>
              <w:rPr>
                <w:sz w:val="16"/>
              </w:rPr>
              <w:t>ул. Кирова, 8, корп.1, 220030, г. Минск</w:t>
            </w:r>
          </w:p>
          <w:p w:rsidR="005D5EA5" w:rsidRDefault="00B80DDB">
            <w:pPr>
              <w:ind w:left="142"/>
              <w:jc w:val="center"/>
              <w:rPr>
                <w:sz w:val="16"/>
              </w:rPr>
            </w:pPr>
            <w:r>
              <w:rPr>
                <w:sz w:val="16"/>
              </w:rPr>
              <w:t xml:space="preserve"> тел. (+375 17) 327 48 02, факс (+375 17) 327 24 80</w:t>
            </w:r>
          </w:p>
          <w:p w:rsidR="005D5EA5" w:rsidRPr="006A1BEF" w:rsidRDefault="00B80DDB">
            <w:pPr>
              <w:jc w:val="center"/>
              <w:rPr>
                <w:rFonts w:ascii="Arial" w:hAnsi="Arial"/>
                <w:sz w:val="16"/>
                <w:lang w:val="en-US"/>
              </w:rPr>
            </w:pPr>
            <w:r w:rsidRPr="006A1BEF">
              <w:rPr>
                <w:sz w:val="16"/>
                <w:lang w:val="en-US"/>
              </w:rPr>
              <w:t>e-mail: mail@mart.gov.by</w:t>
            </w:r>
          </w:p>
          <w:p w:rsidR="005D5EA5" w:rsidRDefault="00B80DDB">
            <w:pPr>
              <w:jc w:val="center"/>
              <w:rPr>
                <w:sz w:val="24"/>
              </w:rPr>
            </w:pPr>
            <w:r>
              <w:rPr>
                <w:sz w:val="16"/>
              </w:rPr>
              <w:t>www.mart.gov.by</w:t>
            </w:r>
          </w:p>
        </w:tc>
      </w:tr>
    </w:tbl>
    <w:p w:rsidR="005D5EA5" w:rsidRDefault="00B80DDB">
      <w:pPr>
        <w:spacing w:line="280" w:lineRule="exact"/>
        <w:ind w:left="4820"/>
        <w:rPr>
          <w:sz w:val="30"/>
        </w:rPr>
      </w:pPr>
      <w:r>
        <w:rPr>
          <w:sz w:val="30"/>
        </w:rPr>
        <w:t>Заинтересованные государственные органы (организации)</w:t>
      </w:r>
    </w:p>
    <w:p w:rsidR="005D5EA5" w:rsidRDefault="00537512" w:rsidP="00537512">
      <w:pPr>
        <w:spacing w:line="280" w:lineRule="exact"/>
        <w:ind w:left="4820" w:hanging="4820"/>
        <w:rPr>
          <w:sz w:val="30"/>
        </w:rPr>
      </w:pPr>
      <w:r>
        <w:rPr>
          <w:sz w:val="30"/>
        </w:rPr>
        <w:t>14.11.2022 №14-01-10/3459К</w:t>
      </w:r>
    </w:p>
    <w:p w:rsidR="005D5EA5" w:rsidRDefault="005D5EA5">
      <w:pPr>
        <w:ind w:left="4820"/>
        <w:rPr>
          <w:sz w:val="30"/>
        </w:rPr>
      </w:pPr>
    </w:p>
    <w:p w:rsidR="005D5EA5" w:rsidRDefault="00B80DDB">
      <w:pPr>
        <w:spacing w:line="280" w:lineRule="exact"/>
        <w:jc w:val="both"/>
        <w:rPr>
          <w:color w:val="000000" w:themeColor="text1"/>
          <w:sz w:val="30"/>
        </w:rPr>
      </w:pPr>
      <w:r>
        <w:rPr>
          <w:color w:val="000000" w:themeColor="text1"/>
          <w:sz w:val="30"/>
        </w:rPr>
        <w:t xml:space="preserve">Об установлении дополнительных </w:t>
      </w:r>
    </w:p>
    <w:p w:rsidR="005D5EA5" w:rsidRDefault="00B80DDB">
      <w:pPr>
        <w:spacing w:line="280" w:lineRule="exact"/>
        <w:jc w:val="both"/>
        <w:rPr>
          <w:color w:val="000000" w:themeColor="text1"/>
          <w:sz w:val="30"/>
        </w:rPr>
      </w:pPr>
      <w:r>
        <w:rPr>
          <w:color w:val="000000" w:themeColor="text1"/>
          <w:sz w:val="30"/>
        </w:rPr>
        <w:t>требований к участникам</w:t>
      </w:r>
    </w:p>
    <w:p w:rsidR="005D5EA5" w:rsidRDefault="005D5EA5">
      <w:pPr>
        <w:jc w:val="both"/>
        <w:rPr>
          <w:color w:val="000000" w:themeColor="text1"/>
          <w:sz w:val="30"/>
        </w:rPr>
      </w:pPr>
    </w:p>
    <w:p w:rsidR="005D5EA5" w:rsidRDefault="00B80DDB">
      <w:pPr>
        <w:ind w:firstLine="709"/>
        <w:jc w:val="both"/>
        <w:rPr>
          <w:sz w:val="30"/>
        </w:rPr>
      </w:pPr>
      <w:r>
        <w:rPr>
          <w:color w:val="000000" w:themeColor="text1"/>
          <w:sz w:val="30"/>
        </w:rPr>
        <w:t xml:space="preserve">Министерство антимонопольного регулирования и торговли в связи с принятием постановления Совета Министров Республики Беларусь от </w:t>
      </w:r>
      <w:r>
        <w:rPr>
          <w:sz w:val="30"/>
        </w:rPr>
        <w:t>14 октября 2022 г. № 692 «Об изменении постановлений Совета Министров Республики Беларусь от 17 марта 2016 г. № 206 и от 15 июня 2019 г. № 395» (далее – постановление № 692) сообщает следующее.</w:t>
      </w:r>
    </w:p>
    <w:p w:rsidR="005D5EA5" w:rsidRDefault="00B80DDB">
      <w:pPr>
        <w:ind w:firstLine="709"/>
        <w:jc w:val="both"/>
        <w:rPr>
          <w:b/>
          <w:sz w:val="30"/>
        </w:rPr>
      </w:pPr>
      <w:r>
        <w:rPr>
          <w:sz w:val="30"/>
        </w:rPr>
        <w:t xml:space="preserve">Постановлением № 692 к участникам процедур государственных закупок </w:t>
      </w:r>
      <w:r>
        <w:rPr>
          <w:b/>
          <w:sz w:val="30"/>
        </w:rPr>
        <w:t>независимо от предмета государственной закупки установлены следующие дополнительные требования:</w:t>
      </w:r>
    </w:p>
    <w:p w:rsidR="005D5EA5" w:rsidRDefault="00B80DDB">
      <w:pPr>
        <w:ind w:firstLine="709"/>
        <w:jc w:val="both"/>
        <w:rPr>
          <w:sz w:val="30"/>
        </w:rPr>
      </w:pPr>
      <w:r>
        <w:rPr>
          <w:sz w:val="30"/>
        </w:rPr>
        <w:t>физическое лицо, в том числе индивидуальный предприниматель, – участник процедуры государственной закупки, лицо, осуществляющее полномочия единоличного исполнительного органа юридического лица - участника процедуры государственной закупки, и лицо, имеющее право давать такому юридическому лицу обязательные для исполнения указания на основании учредительных документов или заключенного договора, не должны считаться подвергавшимися 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 (далее – КоАП);</w:t>
      </w:r>
    </w:p>
    <w:p w:rsidR="005D5EA5" w:rsidRDefault="00B80DDB">
      <w:pPr>
        <w:ind w:firstLine="709"/>
        <w:jc w:val="both"/>
        <w:rPr>
          <w:sz w:val="30"/>
        </w:rPr>
      </w:pPr>
      <w:r>
        <w:rPr>
          <w:sz w:val="30"/>
        </w:rPr>
        <w:t>отсутствие у участника процедуры государственной закупки - физического лица, в том числе индивидуального предпринимателя, не снятой или не погашенной в установленном порядке судимости за преступления, предусмотренные в статьях 209 – 212, 216, 235, 243</w:t>
      </w:r>
      <w:r w:rsidR="0064625F">
        <w:rPr>
          <w:sz w:val="30"/>
        </w:rPr>
        <w:t xml:space="preserve"> – </w:t>
      </w:r>
      <w:r>
        <w:rPr>
          <w:sz w:val="30"/>
        </w:rPr>
        <w:t>243</w:t>
      </w:r>
      <w:r>
        <w:rPr>
          <w:sz w:val="30"/>
          <w:vertAlign w:val="superscript"/>
        </w:rPr>
        <w:t>3</w:t>
      </w:r>
      <w:r>
        <w:rPr>
          <w:sz w:val="30"/>
        </w:rPr>
        <w:t>, 424 – 426, 429</w:t>
      </w:r>
      <w:r w:rsidR="0064625F">
        <w:rPr>
          <w:sz w:val="30"/>
        </w:rPr>
        <w:t xml:space="preserve"> – </w:t>
      </w:r>
      <w:r>
        <w:rPr>
          <w:sz w:val="30"/>
        </w:rPr>
        <w:t>432 и 455 Уголовного кодекса Республики Беларусь (далее – УК);</w:t>
      </w:r>
    </w:p>
    <w:p w:rsidR="005D5EA5" w:rsidRDefault="00B80DDB">
      <w:pPr>
        <w:ind w:firstLine="709"/>
        <w:jc w:val="both"/>
        <w:rPr>
          <w:sz w:val="30"/>
        </w:rPr>
      </w:pPr>
      <w:r>
        <w:rPr>
          <w:sz w:val="30"/>
        </w:rPr>
        <w:t xml:space="preserve">отсутствие у лица, осуществляющего полномочия единоличного исполнительного органа юридического лица - участника процедуры государственной закупки,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снятой или не погашенной в установленном порядке судимости за преступления, </w:t>
      </w:r>
      <w:r>
        <w:rPr>
          <w:sz w:val="30"/>
        </w:rPr>
        <w:lastRenderedPageBreak/>
        <w:t>предусмотренные в 209 – 212, 216, 235, 243</w:t>
      </w:r>
      <w:r w:rsidR="0064625F">
        <w:rPr>
          <w:sz w:val="30"/>
        </w:rPr>
        <w:t xml:space="preserve"> – </w:t>
      </w:r>
      <w:r>
        <w:rPr>
          <w:sz w:val="30"/>
        </w:rPr>
        <w:t>243</w:t>
      </w:r>
      <w:r>
        <w:rPr>
          <w:sz w:val="30"/>
          <w:vertAlign w:val="superscript"/>
        </w:rPr>
        <w:t>3</w:t>
      </w:r>
      <w:r>
        <w:rPr>
          <w:sz w:val="30"/>
        </w:rPr>
        <w:t>, 424 – 426, 429</w:t>
      </w:r>
      <w:r w:rsidR="0064625F">
        <w:rPr>
          <w:sz w:val="30"/>
        </w:rPr>
        <w:t xml:space="preserve"> – </w:t>
      </w:r>
      <w:r>
        <w:rPr>
          <w:sz w:val="30"/>
        </w:rPr>
        <w:t>432 и 455 УК.</w:t>
      </w:r>
    </w:p>
    <w:p w:rsidR="005D5EA5" w:rsidRDefault="00B80DDB">
      <w:pPr>
        <w:ind w:firstLine="709"/>
        <w:jc w:val="both"/>
        <w:rPr>
          <w:sz w:val="30"/>
        </w:rPr>
      </w:pPr>
      <w:r>
        <w:rPr>
          <w:b/>
          <w:sz w:val="30"/>
        </w:rPr>
        <w:t>Указанные дополнительные требования обязательны для всех видов процедур государственных закупок, кроме биржевых торгов</w:t>
      </w:r>
      <w:r>
        <w:rPr>
          <w:sz w:val="30"/>
        </w:rPr>
        <w:t>, независимо от предмета государственной закупки или его ориентировочной стоимости.</w:t>
      </w:r>
    </w:p>
    <w:p w:rsidR="005D5EA5" w:rsidRDefault="00B80DDB">
      <w:pPr>
        <w:pStyle w:val="a6"/>
        <w:ind w:left="0" w:firstLine="709"/>
        <w:jc w:val="both"/>
        <w:rPr>
          <w:b/>
          <w:sz w:val="30"/>
        </w:rPr>
      </w:pPr>
      <w:r>
        <w:rPr>
          <w:sz w:val="30"/>
        </w:rPr>
        <w:t xml:space="preserve">При этом соответствующие положения постановления № 692 </w:t>
      </w:r>
      <w:r>
        <w:rPr>
          <w:b/>
          <w:sz w:val="30"/>
        </w:rPr>
        <w:t>вступают в силу с 16 ноября 2022 г.</w:t>
      </w:r>
    </w:p>
    <w:p w:rsidR="005D5EA5" w:rsidRDefault="00B80DDB">
      <w:pPr>
        <w:pStyle w:val="a6"/>
        <w:ind w:left="0" w:firstLine="709"/>
        <w:jc w:val="both"/>
        <w:rPr>
          <w:b/>
          <w:color w:val="000000" w:themeColor="text1"/>
          <w:sz w:val="30"/>
        </w:rPr>
      </w:pPr>
      <w:r>
        <w:rPr>
          <w:sz w:val="30"/>
        </w:rPr>
        <w:t xml:space="preserve">Таким образом, при осуществлении государственных закупок </w:t>
      </w:r>
      <w:r>
        <w:rPr>
          <w:b/>
          <w:sz w:val="30"/>
        </w:rPr>
        <w:t>в документах, предоставляемых для подготовки предложения,</w:t>
      </w:r>
      <w:r>
        <w:rPr>
          <w:sz w:val="30"/>
        </w:rPr>
        <w:t xml:space="preserve"> утверждаемых </w:t>
      </w:r>
      <w:r>
        <w:rPr>
          <w:b/>
          <w:sz w:val="30"/>
        </w:rPr>
        <w:t>с 16 ноября 2022 г., дополнительные требования к участникам должны быть установлены в строгом соответствии с</w:t>
      </w:r>
      <w:r>
        <w:rPr>
          <w:b/>
          <w:color w:val="000000" w:themeColor="text1"/>
          <w:sz w:val="30"/>
        </w:rPr>
        <w:t xml:space="preserve"> подпунктом 1.7 пункта 1 постановления № 395 (в редакции постановления № 692).</w:t>
      </w:r>
    </w:p>
    <w:p w:rsidR="005D5EA5" w:rsidRDefault="00B80DDB">
      <w:pPr>
        <w:pStyle w:val="a6"/>
        <w:ind w:left="0" w:firstLine="709"/>
        <w:jc w:val="both"/>
        <w:rPr>
          <w:b/>
          <w:color w:val="000000" w:themeColor="text1"/>
          <w:sz w:val="30"/>
        </w:rPr>
      </w:pPr>
      <w:r>
        <w:rPr>
          <w:color w:val="000000" w:themeColor="text1"/>
          <w:sz w:val="30"/>
        </w:rPr>
        <w:t xml:space="preserve">Также и в закупке из одного источника, решение о проведении которой принимается </w:t>
      </w:r>
      <w:r>
        <w:rPr>
          <w:b/>
          <w:color w:val="000000" w:themeColor="text1"/>
          <w:sz w:val="30"/>
        </w:rPr>
        <w:t xml:space="preserve">с 16 ноября 2022 г., участник должен подтвердить соответствие дополнительным требованиям </w:t>
      </w:r>
      <w:r>
        <w:rPr>
          <w:b/>
          <w:sz w:val="30"/>
        </w:rPr>
        <w:t>в строгом соответствии с</w:t>
      </w:r>
      <w:r>
        <w:rPr>
          <w:b/>
          <w:color w:val="000000" w:themeColor="text1"/>
          <w:sz w:val="30"/>
        </w:rPr>
        <w:t xml:space="preserve"> подпунктом 1.7 пункта 1 постановления № 395 (в редакции постановления № 692).</w:t>
      </w:r>
    </w:p>
    <w:p w:rsidR="005D5EA5" w:rsidRDefault="00B80DDB">
      <w:pPr>
        <w:pStyle w:val="a6"/>
        <w:ind w:left="0" w:firstLine="709"/>
        <w:jc w:val="both"/>
        <w:rPr>
          <w:sz w:val="30"/>
        </w:rPr>
      </w:pPr>
      <w:r>
        <w:rPr>
          <w:sz w:val="30"/>
        </w:rPr>
        <w:t xml:space="preserve">Процедуры государственных закупок, начатые до 16 </w:t>
      </w:r>
      <w:r>
        <w:rPr>
          <w:color w:val="000000" w:themeColor="text1"/>
          <w:sz w:val="30"/>
        </w:rPr>
        <w:t>ноября</w:t>
      </w:r>
      <w:r>
        <w:rPr>
          <w:sz w:val="30"/>
        </w:rPr>
        <w:t xml:space="preserve"> 2022 г., осуществляются в соответствии с законодательством, действовавшим до этой даты (без рассматриваемых дополнительных требований).</w:t>
      </w:r>
    </w:p>
    <w:p w:rsidR="005D5EA5" w:rsidRDefault="00B80DDB">
      <w:pPr>
        <w:spacing w:before="120" w:line="280" w:lineRule="exact"/>
        <w:jc w:val="both"/>
        <w:rPr>
          <w:b/>
          <w:i/>
          <w:sz w:val="28"/>
        </w:rPr>
      </w:pPr>
      <w:r>
        <w:rPr>
          <w:b/>
          <w:i/>
          <w:sz w:val="28"/>
        </w:rPr>
        <w:t>Справочно:</w:t>
      </w:r>
    </w:p>
    <w:p w:rsidR="005D5EA5" w:rsidRDefault="00B80DDB">
      <w:pPr>
        <w:pStyle w:val="a6"/>
        <w:spacing w:line="280" w:lineRule="exact"/>
        <w:ind w:left="709" w:firstLine="709"/>
        <w:jc w:val="both"/>
        <w:rPr>
          <w:i/>
          <w:sz w:val="28"/>
        </w:rPr>
      </w:pPr>
      <w:r>
        <w:rPr>
          <w:i/>
          <w:sz w:val="28"/>
        </w:rPr>
        <w:t xml:space="preserve">В случае признания конкурентной процедуры государственной закупки, начатой до 16 ноября 2022 г., несостоявшейся необходимо учитывать, что при проведении повторной процедуры государственной закупки или процедуры закупки из одного источника после признания конкурентной процедуры государственной закупки несостоявшейся </w:t>
      </w:r>
      <w:r>
        <w:rPr>
          <w:b/>
          <w:i/>
          <w:sz w:val="28"/>
        </w:rPr>
        <w:t>не подлежат изменению требования к участникам</w:t>
      </w:r>
      <w:r>
        <w:rPr>
          <w:i/>
          <w:sz w:val="28"/>
        </w:rPr>
        <w:t xml:space="preserve"> (пункт 2 статьи 27 Закона).</w:t>
      </w:r>
    </w:p>
    <w:p w:rsidR="005D5EA5" w:rsidRDefault="00B80DDB">
      <w:pPr>
        <w:pStyle w:val="a6"/>
        <w:spacing w:line="280" w:lineRule="exact"/>
        <w:ind w:left="709" w:firstLine="709"/>
        <w:jc w:val="both"/>
        <w:rPr>
          <w:i/>
          <w:sz w:val="28"/>
        </w:rPr>
      </w:pPr>
      <w:r>
        <w:rPr>
          <w:i/>
          <w:sz w:val="28"/>
        </w:rPr>
        <w:t xml:space="preserve">В этой связи </w:t>
      </w:r>
      <w:r>
        <w:rPr>
          <w:b/>
          <w:i/>
          <w:sz w:val="28"/>
        </w:rPr>
        <w:t>если решение</w:t>
      </w:r>
      <w:r>
        <w:rPr>
          <w:i/>
          <w:sz w:val="28"/>
        </w:rPr>
        <w:t xml:space="preserve"> о проведении повторной процедуры государственной закупки или процедуры закупки из одного источника после признания конкурентной процедуры государственной закупки несостоявшейся </w:t>
      </w:r>
      <w:r>
        <w:rPr>
          <w:b/>
          <w:i/>
          <w:sz w:val="28"/>
        </w:rPr>
        <w:t>не принято до 16 ноября 2022 г.,</w:t>
      </w:r>
      <w:r>
        <w:rPr>
          <w:i/>
          <w:sz w:val="28"/>
        </w:rPr>
        <w:t xml:space="preserve"> то с учетом необходимости изменения дополнительных требований к участникам </w:t>
      </w:r>
      <w:r>
        <w:rPr>
          <w:b/>
          <w:i/>
          <w:sz w:val="28"/>
        </w:rPr>
        <w:t>недопустимо проведение</w:t>
      </w:r>
      <w:r>
        <w:rPr>
          <w:i/>
          <w:sz w:val="28"/>
        </w:rPr>
        <w:t xml:space="preserve"> повторной процедуры государственной закупки или процедуры закупки из одного источника после признания конкурентной процедуры государственной закупки несостоявшейся.</w:t>
      </w:r>
    </w:p>
    <w:p w:rsidR="005D5EA5" w:rsidRDefault="00B80DDB">
      <w:pPr>
        <w:pStyle w:val="a6"/>
        <w:spacing w:after="120" w:line="280" w:lineRule="exact"/>
        <w:ind w:left="709" w:firstLine="709"/>
        <w:jc w:val="both"/>
        <w:rPr>
          <w:sz w:val="30"/>
        </w:rPr>
      </w:pPr>
      <w:r>
        <w:rPr>
          <w:i/>
          <w:sz w:val="28"/>
        </w:rPr>
        <w:t>В такой ситуации после изменения дополнительных требований к участникам подлежит проведению</w:t>
      </w:r>
      <w:r>
        <w:rPr>
          <w:b/>
          <w:i/>
          <w:sz w:val="28"/>
        </w:rPr>
        <w:t xml:space="preserve"> новая</w:t>
      </w:r>
      <w:r>
        <w:rPr>
          <w:i/>
          <w:sz w:val="28"/>
        </w:rPr>
        <w:t xml:space="preserve"> процедура государственной закупки. </w:t>
      </w:r>
    </w:p>
    <w:p w:rsidR="005D5EA5" w:rsidRDefault="00B80DDB">
      <w:pPr>
        <w:pStyle w:val="a6"/>
        <w:ind w:left="0" w:firstLine="709"/>
        <w:jc w:val="both"/>
        <w:rPr>
          <w:b/>
          <w:sz w:val="30"/>
        </w:rPr>
      </w:pPr>
      <w:r>
        <w:rPr>
          <w:sz w:val="30"/>
        </w:rPr>
        <w:t xml:space="preserve">Соответствие рассматриваемым дополнительным требованиям </w:t>
      </w:r>
      <w:r>
        <w:rPr>
          <w:b/>
          <w:sz w:val="30"/>
        </w:rPr>
        <w:t>подтверждается заявлением участника.</w:t>
      </w:r>
    </w:p>
    <w:p w:rsidR="005D5EA5" w:rsidRDefault="00B80DDB">
      <w:pPr>
        <w:pStyle w:val="a6"/>
        <w:ind w:left="0" w:firstLine="709"/>
        <w:jc w:val="both"/>
        <w:rPr>
          <w:b/>
          <w:sz w:val="30"/>
        </w:rPr>
      </w:pPr>
      <w:r>
        <w:rPr>
          <w:sz w:val="30"/>
        </w:rPr>
        <w:t xml:space="preserve">При этом комментируемые дополнительные требования предъявляются </w:t>
      </w:r>
      <w:r>
        <w:rPr>
          <w:b/>
          <w:sz w:val="30"/>
        </w:rPr>
        <w:t>ко всем участникам</w:t>
      </w:r>
      <w:r>
        <w:rPr>
          <w:sz w:val="30"/>
        </w:rPr>
        <w:t xml:space="preserve"> процедур государственных закупок. </w:t>
      </w:r>
      <w:r>
        <w:rPr>
          <w:sz w:val="30"/>
        </w:rPr>
        <w:lastRenderedPageBreak/>
        <w:t xml:space="preserve">Следовательно, соответствующее заявление должно предоставляться </w:t>
      </w:r>
      <w:r>
        <w:rPr>
          <w:b/>
          <w:sz w:val="30"/>
        </w:rPr>
        <w:t>в том числе участниками – нерезидентами Республики Беларусь.</w:t>
      </w:r>
    </w:p>
    <w:p w:rsidR="005D5EA5" w:rsidRDefault="00B80DDB">
      <w:pPr>
        <w:pStyle w:val="a6"/>
        <w:ind w:left="0" w:firstLine="709"/>
        <w:jc w:val="both"/>
        <w:rPr>
          <w:sz w:val="30"/>
        </w:rPr>
      </w:pPr>
      <w:r>
        <w:rPr>
          <w:sz w:val="30"/>
        </w:rPr>
        <w:t xml:space="preserve">Так, участник процедуры государственной закупки – </w:t>
      </w:r>
      <w:r>
        <w:rPr>
          <w:b/>
          <w:sz w:val="30"/>
        </w:rPr>
        <w:t>физическое лицо, в том числе индивидуальный предприниматель,</w:t>
      </w:r>
      <w:r>
        <w:rPr>
          <w:sz w:val="30"/>
        </w:rPr>
        <w:t xml:space="preserve"> предоставляет заявление о том, что:</w:t>
      </w:r>
    </w:p>
    <w:p w:rsidR="005D5EA5" w:rsidRDefault="00B80DDB">
      <w:pPr>
        <w:pStyle w:val="a6"/>
        <w:ind w:left="0" w:firstLine="709"/>
        <w:jc w:val="both"/>
        <w:rPr>
          <w:sz w:val="30"/>
        </w:rPr>
      </w:pPr>
      <w:r>
        <w:rPr>
          <w:b/>
          <w:sz w:val="30"/>
        </w:rPr>
        <w:t xml:space="preserve">он не считается подвергавшимся </w:t>
      </w:r>
      <w:r>
        <w:rPr>
          <w:sz w:val="30"/>
        </w:rPr>
        <w:t>административному взысканию за административные правонарушения, предусмотренные в частях 7, 8 и 10 статьи 14.4, частях 4 и 5 статьи 14.5 КоАП;</w:t>
      </w:r>
    </w:p>
    <w:p w:rsidR="005D5EA5" w:rsidRDefault="00B80DDB">
      <w:pPr>
        <w:spacing w:before="120" w:line="280" w:lineRule="exact"/>
        <w:jc w:val="both"/>
        <w:rPr>
          <w:b/>
          <w:i/>
          <w:sz w:val="28"/>
        </w:rPr>
      </w:pPr>
      <w:r>
        <w:rPr>
          <w:b/>
          <w:i/>
          <w:sz w:val="28"/>
        </w:rPr>
        <w:t>Справочно:</w:t>
      </w:r>
    </w:p>
    <w:p w:rsidR="005D5EA5" w:rsidRDefault="00B80DDB">
      <w:pPr>
        <w:pStyle w:val="a6"/>
        <w:spacing w:after="120" w:line="280" w:lineRule="exact"/>
        <w:ind w:left="709" w:firstLine="709"/>
        <w:jc w:val="both"/>
        <w:rPr>
          <w:i/>
          <w:sz w:val="28"/>
        </w:rPr>
      </w:pPr>
      <w:r>
        <w:rPr>
          <w:i/>
          <w:sz w:val="28"/>
        </w:rPr>
        <w:t>В зависимости от категории административного правонарушения в статье 4.9 КоАП определяются сроки, по истечении которых физическое или юридическое лицо считается не подвергавшимся административному взысканию.</w:t>
      </w:r>
    </w:p>
    <w:p w:rsidR="005D5EA5" w:rsidRDefault="00B80DDB">
      <w:pPr>
        <w:ind w:firstLine="709"/>
        <w:jc w:val="both"/>
        <w:rPr>
          <w:sz w:val="30"/>
        </w:rPr>
      </w:pPr>
      <w:r>
        <w:rPr>
          <w:b/>
          <w:sz w:val="30"/>
        </w:rPr>
        <w:t xml:space="preserve">у него отсутствует не снятая или не погашенная </w:t>
      </w:r>
      <w:r>
        <w:rPr>
          <w:sz w:val="30"/>
        </w:rPr>
        <w:t>в установленном порядке</w:t>
      </w:r>
      <w:r>
        <w:rPr>
          <w:b/>
          <w:sz w:val="30"/>
        </w:rPr>
        <w:t xml:space="preserve"> судимость</w:t>
      </w:r>
      <w:r>
        <w:rPr>
          <w:sz w:val="30"/>
        </w:rPr>
        <w:t xml:space="preserve"> за преступления, предусмотренные в статьях 209 – 212, 216, 235, 243</w:t>
      </w:r>
      <w:r w:rsidR="0064625F">
        <w:rPr>
          <w:sz w:val="30"/>
        </w:rPr>
        <w:t xml:space="preserve"> – </w:t>
      </w:r>
      <w:r>
        <w:rPr>
          <w:sz w:val="30"/>
        </w:rPr>
        <w:t>243</w:t>
      </w:r>
      <w:r>
        <w:rPr>
          <w:sz w:val="30"/>
          <w:vertAlign w:val="superscript"/>
        </w:rPr>
        <w:t>3</w:t>
      </w:r>
      <w:r>
        <w:rPr>
          <w:sz w:val="30"/>
        </w:rPr>
        <w:t>, 424 – 426, 429</w:t>
      </w:r>
      <w:r w:rsidR="0064625F">
        <w:rPr>
          <w:sz w:val="30"/>
        </w:rPr>
        <w:t xml:space="preserve"> – </w:t>
      </w:r>
      <w:r>
        <w:rPr>
          <w:sz w:val="30"/>
        </w:rPr>
        <w:t>432 и 455 УК.</w:t>
      </w:r>
    </w:p>
    <w:p w:rsidR="005D5EA5" w:rsidRDefault="00B80DDB">
      <w:pPr>
        <w:spacing w:before="120" w:line="280" w:lineRule="exact"/>
        <w:jc w:val="both"/>
        <w:rPr>
          <w:b/>
          <w:i/>
          <w:sz w:val="30"/>
        </w:rPr>
      </w:pPr>
      <w:r>
        <w:rPr>
          <w:b/>
          <w:i/>
          <w:sz w:val="30"/>
        </w:rPr>
        <w:t>Справочно:</w:t>
      </w:r>
    </w:p>
    <w:p w:rsidR="005D5EA5" w:rsidRDefault="00B80DDB">
      <w:pPr>
        <w:spacing w:after="120" w:line="280" w:lineRule="exact"/>
        <w:ind w:left="709" w:firstLine="709"/>
        <w:jc w:val="both"/>
        <w:rPr>
          <w:i/>
          <w:sz w:val="30"/>
        </w:rPr>
      </w:pPr>
      <w:r>
        <w:rPr>
          <w:i/>
          <w:sz w:val="30"/>
        </w:rPr>
        <w:t>Главой 13 УК определены условия погашения и снятия судимости.</w:t>
      </w:r>
    </w:p>
    <w:p w:rsidR="005D5EA5" w:rsidRDefault="00B80DDB">
      <w:pPr>
        <w:ind w:firstLine="709"/>
        <w:jc w:val="both"/>
        <w:rPr>
          <w:sz w:val="30"/>
        </w:rPr>
      </w:pPr>
      <w:r>
        <w:rPr>
          <w:sz w:val="30"/>
        </w:rPr>
        <w:t xml:space="preserve">В свою очередь участник государственной закупки – </w:t>
      </w:r>
      <w:r>
        <w:rPr>
          <w:b/>
          <w:sz w:val="30"/>
        </w:rPr>
        <w:t>юридическое лицо</w:t>
      </w:r>
      <w:r>
        <w:rPr>
          <w:sz w:val="30"/>
        </w:rPr>
        <w:t xml:space="preserve"> предоставляет заявление о том, что:</w:t>
      </w:r>
    </w:p>
    <w:p w:rsidR="005D5EA5" w:rsidRDefault="00B80DDB">
      <w:pPr>
        <w:ind w:firstLine="709"/>
        <w:jc w:val="both"/>
        <w:rPr>
          <w:sz w:val="30"/>
        </w:rPr>
      </w:pPr>
      <w:r>
        <w:rPr>
          <w:b/>
          <w:sz w:val="30"/>
        </w:rPr>
        <w:t>лицо, осуществляющее полномочия его единоличного исполнительного органа, и лицо, имеющее право давать такому юридическому лицу обязательные для исполнения указания</w:t>
      </w:r>
      <w:r>
        <w:rPr>
          <w:sz w:val="30"/>
        </w:rPr>
        <w:t xml:space="preserve"> на основании учредительных документов или заключенного договора, </w:t>
      </w:r>
      <w:r>
        <w:rPr>
          <w:b/>
          <w:sz w:val="30"/>
        </w:rPr>
        <w:t>не считаются подвергавшимися</w:t>
      </w:r>
      <w:r>
        <w:rPr>
          <w:sz w:val="30"/>
        </w:rPr>
        <w:t xml:space="preserve"> административному взысканию за административные правонарушения, предусмотренные в частях 7, 8 и 10 статьи 14.4, частях 4 и 5 статьи 14.5 КоАП;</w:t>
      </w:r>
    </w:p>
    <w:p w:rsidR="005D5EA5" w:rsidRDefault="00B80DDB">
      <w:pPr>
        <w:ind w:firstLine="709"/>
        <w:jc w:val="both"/>
        <w:rPr>
          <w:sz w:val="30"/>
        </w:rPr>
      </w:pPr>
      <w:r>
        <w:rPr>
          <w:b/>
          <w:sz w:val="30"/>
        </w:rPr>
        <w:t>у лица, осуществляющего полномочия его единоличного исполнительного органа, и лица, имеющего право давать юридическому лицу обязательные для исполнения указания</w:t>
      </w:r>
      <w:r>
        <w:rPr>
          <w:sz w:val="30"/>
        </w:rPr>
        <w:t xml:space="preserve"> на основании учредительных документов или заключенного договора, </w:t>
      </w:r>
      <w:r>
        <w:rPr>
          <w:b/>
          <w:sz w:val="30"/>
        </w:rPr>
        <w:t xml:space="preserve">отсутствует не снятая или не погашенная </w:t>
      </w:r>
      <w:r>
        <w:rPr>
          <w:sz w:val="30"/>
        </w:rPr>
        <w:t xml:space="preserve">в установленном порядке </w:t>
      </w:r>
      <w:r>
        <w:rPr>
          <w:b/>
          <w:sz w:val="30"/>
        </w:rPr>
        <w:t xml:space="preserve">судимость </w:t>
      </w:r>
      <w:r>
        <w:rPr>
          <w:sz w:val="30"/>
        </w:rPr>
        <w:t xml:space="preserve">за преступления, предусмотренные в 209 – 212, 216, 235, </w:t>
      </w:r>
      <w:r w:rsidR="0064625F">
        <w:rPr>
          <w:sz w:val="30"/>
        </w:rPr>
        <w:br/>
      </w:r>
      <w:r>
        <w:rPr>
          <w:sz w:val="30"/>
        </w:rPr>
        <w:t>243</w:t>
      </w:r>
      <w:r w:rsidR="0064625F">
        <w:rPr>
          <w:sz w:val="30"/>
        </w:rPr>
        <w:t xml:space="preserve"> – </w:t>
      </w:r>
      <w:r>
        <w:rPr>
          <w:sz w:val="30"/>
        </w:rPr>
        <w:t>243</w:t>
      </w:r>
      <w:r>
        <w:rPr>
          <w:sz w:val="30"/>
          <w:vertAlign w:val="superscript"/>
        </w:rPr>
        <w:t>3</w:t>
      </w:r>
      <w:r>
        <w:rPr>
          <w:sz w:val="30"/>
        </w:rPr>
        <w:t>, 424 – 426, 429</w:t>
      </w:r>
      <w:r w:rsidR="0064625F">
        <w:rPr>
          <w:sz w:val="30"/>
        </w:rPr>
        <w:t xml:space="preserve"> – </w:t>
      </w:r>
      <w:r>
        <w:rPr>
          <w:sz w:val="30"/>
        </w:rPr>
        <w:t>432 и 455 УК.</w:t>
      </w:r>
    </w:p>
    <w:p w:rsidR="005D5EA5" w:rsidRDefault="00B80DDB">
      <w:pPr>
        <w:ind w:firstLine="709"/>
        <w:jc w:val="both"/>
        <w:rPr>
          <w:sz w:val="30"/>
        </w:rPr>
      </w:pPr>
      <w:r>
        <w:rPr>
          <w:sz w:val="30"/>
        </w:rPr>
        <w:t xml:space="preserve">Таким образом, участник, являющийся юридическим лицом, предоставляет указанное выше заявление в отношении лица, осуществляющего полномочия его единоличного исполнительного органа, то есть в отношении физического лица, осуществляющего руководство деятельностью участника, – руководителя (генерального директора, директора, председателя, начальника и пр.). Также сведения предоставляются в отношении физического лица, которое на основании учредительных документов юридического лица (например, устава) либо </w:t>
      </w:r>
      <w:r>
        <w:rPr>
          <w:sz w:val="30"/>
        </w:rPr>
        <w:lastRenderedPageBreak/>
        <w:t>заключенного договора (например, управляющий, получивший полномочия с учетом части девятой статьи 53</w:t>
      </w:r>
      <w:r>
        <w:rPr>
          <w:b/>
          <w:sz w:val="30"/>
        </w:rPr>
        <w:t xml:space="preserve"> </w:t>
      </w:r>
      <w:r>
        <w:rPr>
          <w:sz w:val="30"/>
        </w:rPr>
        <w:t>Закона Республики Беларусь от 9 декабря 1992 г. № 2020-XII «О хозяйственных обществах») имеет право давать юридическому лицу – участнику процедуры государственной закупки обязательные для исполнения указания.</w:t>
      </w:r>
    </w:p>
    <w:p w:rsidR="005D5EA5" w:rsidRDefault="00B80DDB">
      <w:pPr>
        <w:ind w:firstLine="709"/>
        <w:jc w:val="both"/>
        <w:rPr>
          <w:sz w:val="30"/>
        </w:rPr>
      </w:pPr>
      <w:r>
        <w:rPr>
          <w:sz w:val="30"/>
        </w:rPr>
        <w:t>Указание в заявлении фамилии, имени, отчества в отношении перечисленных лиц не требуется. Допустимо указать, например, что директор не считается подвергавшимся административному взысканию за административные правонарушения, предусмотренные в частях 7, 8 и 10 статьи 14.4, частях 4 и 5 статьи 14.5 КоАП. Либо, что лицо, осуществляющее полномочия единоличного исполнительного органа, не считается подвергавшимся административному взысканию за административные правонарушения, предусмотренные в частях 7, 8 и 10 статьи 14.4, частях 4 и 5 статьи 14.5 КоАП.</w:t>
      </w:r>
    </w:p>
    <w:p w:rsidR="005D5EA5" w:rsidRDefault="00B80DDB">
      <w:pPr>
        <w:ind w:firstLine="709"/>
        <w:jc w:val="both"/>
        <w:rPr>
          <w:sz w:val="18"/>
        </w:rPr>
      </w:pPr>
      <w:r>
        <w:rPr>
          <w:sz w:val="30"/>
        </w:rPr>
        <w:t xml:space="preserve">В случае если у юридического лица отсутствует лицо, осуществляющее полномочия его единоличного исполнительного органа, и (или) лицо, имеющее право давать юридическому лицу обязательные для исполнения указания на основании учредительных документов или заключенного договора, участнику процедуры государственной закупки следует указать об этом в заявлении.  </w:t>
      </w: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B80DDB">
      <w:pPr>
        <w:tabs>
          <w:tab w:val="left" w:pos="6804"/>
        </w:tabs>
        <w:jc w:val="both"/>
        <w:rPr>
          <w:sz w:val="30"/>
        </w:rPr>
      </w:pPr>
      <w:r>
        <w:rPr>
          <w:sz w:val="30"/>
        </w:rPr>
        <w:t>Заместитель Министра</w:t>
      </w:r>
      <w:r>
        <w:rPr>
          <w:sz w:val="30"/>
        </w:rPr>
        <w:tab/>
        <w:t>А.М.Картун</w:t>
      </w: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5D5EA5">
      <w:pPr>
        <w:tabs>
          <w:tab w:val="left" w:pos="6804"/>
        </w:tabs>
        <w:jc w:val="both"/>
        <w:rPr>
          <w:sz w:val="18"/>
        </w:rPr>
      </w:pPr>
    </w:p>
    <w:p w:rsidR="005D5EA5" w:rsidRDefault="00B80DDB">
      <w:pPr>
        <w:tabs>
          <w:tab w:val="left" w:pos="6804"/>
        </w:tabs>
        <w:jc w:val="both"/>
        <w:rPr>
          <w:sz w:val="18"/>
        </w:rPr>
      </w:pPr>
      <w:r>
        <w:rPr>
          <w:sz w:val="18"/>
        </w:rPr>
        <w:t>Гуринович</w:t>
      </w:r>
    </w:p>
    <w:p w:rsidR="005D5EA5" w:rsidRDefault="005D2ED9">
      <w:pPr>
        <w:tabs>
          <w:tab w:val="left" w:pos="6804"/>
        </w:tabs>
        <w:jc w:val="both"/>
      </w:pPr>
      <w:hyperlink r:id="rId6" w:history="1">
        <w:r w:rsidR="00B80DDB">
          <w:rPr>
            <w:rStyle w:val="a5"/>
            <w:sz w:val="18"/>
          </w:rPr>
          <w:t>https://t.me/goszakupkiby</w:t>
        </w:r>
      </w:hyperlink>
      <w:r w:rsidR="00B80DDB">
        <w:rPr>
          <w:sz w:val="18"/>
        </w:rPr>
        <w:t xml:space="preserve"> - </w:t>
      </w:r>
      <w:r w:rsidR="00B80DDB">
        <w:rPr>
          <w:sz w:val="18"/>
          <w:highlight w:val="white"/>
        </w:rPr>
        <w:t>Telegram-канал МАРТ по госзакупкам</w:t>
      </w:r>
    </w:p>
    <w:sectPr w:rsidR="005D5EA5" w:rsidSect="005D2ED9">
      <w:headerReference w:type="default" r:id="rId7"/>
      <w:pgSz w:w="11906" w:h="16838"/>
      <w:pgMar w:top="1134" w:right="567" w:bottom="709"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772" w:rsidRDefault="00E76772">
      <w:r>
        <w:separator/>
      </w:r>
    </w:p>
  </w:endnote>
  <w:endnote w:type="continuationSeparator" w:id="1">
    <w:p w:rsidR="00E76772" w:rsidRDefault="00E767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772" w:rsidRDefault="00E76772">
      <w:r>
        <w:separator/>
      </w:r>
    </w:p>
  </w:footnote>
  <w:footnote w:type="continuationSeparator" w:id="1">
    <w:p w:rsidR="00E76772" w:rsidRDefault="00E7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A5" w:rsidRDefault="005D2ED9">
    <w:pPr>
      <w:framePr w:wrap="around" w:vAnchor="text" w:hAnchor="margin" w:xAlign="center" w:y="1"/>
    </w:pPr>
    <w:r>
      <w:fldChar w:fldCharType="begin"/>
    </w:r>
    <w:r w:rsidR="00B80DDB">
      <w:instrText xml:space="preserve">PAGE </w:instrText>
    </w:r>
    <w:r>
      <w:fldChar w:fldCharType="separate"/>
    </w:r>
    <w:r w:rsidR="00537512">
      <w:rPr>
        <w:noProof/>
      </w:rPr>
      <w:t>4</w:t>
    </w:r>
    <w:r>
      <w:fldChar w:fldCharType="end"/>
    </w:r>
  </w:p>
  <w:p w:rsidR="005D5EA5" w:rsidRDefault="005D5EA5">
    <w:pPr>
      <w:pStyle w:val="ac"/>
      <w:jc w:val="center"/>
    </w:pPr>
  </w:p>
  <w:p w:rsidR="005D5EA5" w:rsidRDefault="005D5EA5">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5EA5"/>
    <w:rsid w:val="00537512"/>
    <w:rsid w:val="005D2ED9"/>
    <w:rsid w:val="005D5EA5"/>
    <w:rsid w:val="0064625F"/>
    <w:rsid w:val="006A1BEF"/>
    <w:rsid w:val="00B80DDB"/>
    <w:rsid w:val="00BD7C69"/>
    <w:rsid w:val="00E76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5D2ED9"/>
    <w:pPr>
      <w:spacing w:after="0" w:line="240" w:lineRule="auto"/>
    </w:pPr>
    <w:rPr>
      <w:rFonts w:ascii="Times New Roman" w:hAnsi="Times New Roman"/>
      <w:sz w:val="20"/>
    </w:rPr>
  </w:style>
  <w:style w:type="paragraph" w:styleId="10">
    <w:name w:val="heading 1"/>
    <w:basedOn w:val="a"/>
    <w:next w:val="a"/>
    <w:link w:val="11"/>
    <w:uiPriority w:val="9"/>
    <w:qFormat/>
    <w:rsid w:val="005D2ED9"/>
    <w:pPr>
      <w:keepNext/>
      <w:outlineLvl w:val="0"/>
    </w:pPr>
    <w:rPr>
      <w:b/>
      <w:sz w:val="28"/>
    </w:rPr>
  </w:style>
  <w:style w:type="paragraph" w:styleId="2">
    <w:name w:val="heading 2"/>
    <w:next w:val="a"/>
    <w:link w:val="20"/>
    <w:uiPriority w:val="9"/>
    <w:qFormat/>
    <w:rsid w:val="005D2ED9"/>
    <w:pPr>
      <w:spacing w:before="120" w:after="120"/>
      <w:jc w:val="both"/>
      <w:outlineLvl w:val="1"/>
    </w:pPr>
    <w:rPr>
      <w:rFonts w:ascii="XO Thames" w:hAnsi="XO Thames"/>
      <w:b/>
      <w:sz w:val="28"/>
    </w:rPr>
  </w:style>
  <w:style w:type="paragraph" w:styleId="3">
    <w:name w:val="heading 3"/>
    <w:next w:val="a"/>
    <w:link w:val="30"/>
    <w:uiPriority w:val="9"/>
    <w:qFormat/>
    <w:rsid w:val="005D2ED9"/>
    <w:pPr>
      <w:spacing w:before="120" w:after="120"/>
      <w:jc w:val="both"/>
      <w:outlineLvl w:val="2"/>
    </w:pPr>
    <w:rPr>
      <w:rFonts w:ascii="XO Thames" w:hAnsi="XO Thames"/>
      <w:b/>
      <w:sz w:val="26"/>
    </w:rPr>
  </w:style>
  <w:style w:type="paragraph" w:styleId="4">
    <w:name w:val="heading 4"/>
    <w:next w:val="a"/>
    <w:link w:val="40"/>
    <w:uiPriority w:val="9"/>
    <w:qFormat/>
    <w:rsid w:val="005D2ED9"/>
    <w:pPr>
      <w:spacing w:before="120" w:after="120"/>
      <w:jc w:val="both"/>
      <w:outlineLvl w:val="3"/>
    </w:pPr>
    <w:rPr>
      <w:rFonts w:ascii="XO Thames" w:hAnsi="XO Thames"/>
      <w:b/>
      <w:sz w:val="24"/>
    </w:rPr>
  </w:style>
  <w:style w:type="paragraph" w:styleId="5">
    <w:name w:val="heading 5"/>
    <w:next w:val="a"/>
    <w:link w:val="50"/>
    <w:uiPriority w:val="9"/>
    <w:qFormat/>
    <w:rsid w:val="005D2ED9"/>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D2ED9"/>
    <w:rPr>
      <w:rFonts w:ascii="Times New Roman" w:hAnsi="Times New Roman"/>
      <w:sz w:val="20"/>
    </w:rPr>
  </w:style>
  <w:style w:type="paragraph" w:styleId="21">
    <w:name w:val="toc 2"/>
    <w:next w:val="a"/>
    <w:link w:val="22"/>
    <w:uiPriority w:val="39"/>
    <w:rsid w:val="005D2ED9"/>
    <w:pPr>
      <w:ind w:left="200"/>
    </w:pPr>
    <w:rPr>
      <w:rFonts w:ascii="XO Thames" w:hAnsi="XO Thames"/>
      <w:sz w:val="28"/>
    </w:rPr>
  </w:style>
  <w:style w:type="character" w:customStyle="1" w:styleId="22">
    <w:name w:val="Оглавление 2 Знак"/>
    <w:link w:val="21"/>
    <w:rsid w:val="005D2ED9"/>
    <w:rPr>
      <w:rFonts w:ascii="XO Thames" w:hAnsi="XO Thames"/>
      <w:sz w:val="28"/>
    </w:rPr>
  </w:style>
  <w:style w:type="paragraph" w:styleId="a3">
    <w:name w:val="Balloon Text"/>
    <w:basedOn w:val="a"/>
    <w:link w:val="a4"/>
    <w:rsid w:val="005D2ED9"/>
    <w:rPr>
      <w:rFonts w:ascii="Segoe UI" w:hAnsi="Segoe UI"/>
      <w:sz w:val="18"/>
    </w:rPr>
  </w:style>
  <w:style w:type="character" w:customStyle="1" w:styleId="a4">
    <w:name w:val="Текст выноски Знак"/>
    <w:basedOn w:val="1"/>
    <w:link w:val="a3"/>
    <w:rsid w:val="005D2ED9"/>
    <w:rPr>
      <w:rFonts w:ascii="Segoe UI" w:hAnsi="Segoe UI"/>
      <w:sz w:val="18"/>
    </w:rPr>
  </w:style>
  <w:style w:type="paragraph" w:styleId="41">
    <w:name w:val="toc 4"/>
    <w:next w:val="a"/>
    <w:link w:val="42"/>
    <w:uiPriority w:val="39"/>
    <w:rsid w:val="005D2ED9"/>
    <w:pPr>
      <w:ind w:left="600"/>
    </w:pPr>
    <w:rPr>
      <w:rFonts w:ascii="XO Thames" w:hAnsi="XO Thames"/>
      <w:sz w:val="28"/>
    </w:rPr>
  </w:style>
  <w:style w:type="character" w:customStyle="1" w:styleId="42">
    <w:name w:val="Оглавление 4 Знак"/>
    <w:link w:val="41"/>
    <w:rsid w:val="005D2ED9"/>
    <w:rPr>
      <w:rFonts w:ascii="XO Thames" w:hAnsi="XO Thames"/>
      <w:sz w:val="28"/>
    </w:rPr>
  </w:style>
  <w:style w:type="paragraph" w:styleId="6">
    <w:name w:val="toc 6"/>
    <w:next w:val="a"/>
    <w:link w:val="60"/>
    <w:uiPriority w:val="39"/>
    <w:rsid w:val="005D2ED9"/>
    <w:pPr>
      <w:ind w:left="1000"/>
    </w:pPr>
    <w:rPr>
      <w:rFonts w:ascii="XO Thames" w:hAnsi="XO Thames"/>
      <w:sz w:val="28"/>
    </w:rPr>
  </w:style>
  <w:style w:type="character" w:customStyle="1" w:styleId="60">
    <w:name w:val="Оглавление 6 Знак"/>
    <w:link w:val="6"/>
    <w:rsid w:val="005D2ED9"/>
    <w:rPr>
      <w:rFonts w:ascii="XO Thames" w:hAnsi="XO Thames"/>
      <w:sz w:val="28"/>
    </w:rPr>
  </w:style>
  <w:style w:type="paragraph" w:styleId="7">
    <w:name w:val="toc 7"/>
    <w:next w:val="a"/>
    <w:link w:val="70"/>
    <w:uiPriority w:val="39"/>
    <w:rsid w:val="005D2ED9"/>
    <w:pPr>
      <w:ind w:left="1200"/>
    </w:pPr>
    <w:rPr>
      <w:rFonts w:ascii="XO Thames" w:hAnsi="XO Thames"/>
      <w:sz w:val="28"/>
    </w:rPr>
  </w:style>
  <w:style w:type="character" w:customStyle="1" w:styleId="70">
    <w:name w:val="Оглавление 7 Знак"/>
    <w:link w:val="7"/>
    <w:rsid w:val="005D2ED9"/>
    <w:rPr>
      <w:rFonts w:ascii="XO Thames" w:hAnsi="XO Thames"/>
      <w:sz w:val="28"/>
    </w:rPr>
  </w:style>
  <w:style w:type="character" w:customStyle="1" w:styleId="30">
    <w:name w:val="Заголовок 3 Знак"/>
    <w:link w:val="3"/>
    <w:rsid w:val="005D2ED9"/>
    <w:rPr>
      <w:rFonts w:ascii="XO Thames" w:hAnsi="XO Thames"/>
      <w:b/>
      <w:sz w:val="26"/>
    </w:rPr>
  </w:style>
  <w:style w:type="paragraph" w:styleId="31">
    <w:name w:val="toc 3"/>
    <w:next w:val="a"/>
    <w:link w:val="32"/>
    <w:uiPriority w:val="39"/>
    <w:rsid w:val="005D2ED9"/>
    <w:pPr>
      <w:ind w:left="400"/>
    </w:pPr>
    <w:rPr>
      <w:rFonts w:ascii="XO Thames" w:hAnsi="XO Thames"/>
      <w:sz w:val="28"/>
    </w:rPr>
  </w:style>
  <w:style w:type="character" w:customStyle="1" w:styleId="32">
    <w:name w:val="Оглавление 3 Знак"/>
    <w:link w:val="31"/>
    <w:rsid w:val="005D2ED9"/>
    <w:rPr>
      <w:rFonts w:ascii="XO Thames" w:hAnsi="XO Thames"/>
      <w:sz w:val="28"/>
    </w:rPr>
  </w:style>
  <w:style w:type="character" w:customStyle="1" w:styleId="50">
    <w:name w:val="Заголовок 5 Знак"/>
    <w:link w:val="5"/>
    <w:rsid w:val="005D2ED9"/>
    <w:rPr>
      <w:rFonts w:ascii="XO Thames" w:hAnsi="XO Thames"/>
      <w:b/>
      <w:sz w:val="22"/>
    </w:rPr>
  </w:style>
  <w:style w:type="character" w:customStyle="1" w:styleId="11">
    <w:name w:val="Заголовок 1 Знак"/>
    <w:basedOn w:val="1"/>
    <w:link w:val="10"/>
    <w:rsid w:val="005D2ED9"/>
    <w:rPr>
      <w:rFonts w:ascii="Times New Roman" w:hAnsi="Times New Roman"/>
      <w:b/>
      <w:sz w:val="28"/>
    </w:rPr>
  </w:style>
  <w:style w:type="paragraph" w:customStyle="1" w:styleId="12">
    <w:name w:val="Гиперссылка1"/>
    <w:basedOn w:val="13"/>
    <w:link w:val="a5"/>
    <w:rsid w:val="005D2ED9"/>
    <w:rPr>
      <w:color w:val="0563C1" w:themeColor="hyperlink"/>
      <w:u w:val="single"/>
    </w:rPr>
  </w:style>
  <w:style w:type="character" w:styleId="a5">
    <w:name w:val="Hyperlink"/>
    <w:basedOn w:val="a0"/>
    <w:link w:val="12"/>
    <w:rsid w:val="005D2ED9"/>
    <w:rPr>
      <w:color w:val="0563C1" w:themeColor="hyperlink"/>
      <w:u w:val="single"/>
    </w:rPr>
  </w:style>
  <w:style w:type="paragraph" w:customStyle="1" w:styleId="Footnote">
    <w:name w:val="Footnote"/>
    <w:link w:val="Footnote0"/>
    <w:rsid w:val="005D2ED9"/>
    <w:pPr>
      <w:ind w:firstLine="851"/>
      <w:jc w:val="both"/>
    </w:pPr>
    <w:rPr>
      <w:rFonts w:ascii="XO Thames" w:hAnsi="XO Thames"/>
    </w:rPr>
  </w:style>
  <w:style w:type="character" w:customStyle="1" w:styleId="Footnote0">
    <w:name w:val="Footnote"/>
    <w:link w:val="Footnote"/>
    <w:rsid w:val="005D2ED9"/>
    <w:rPr>
      <w:rFonts w:ascii="XO Thames" w:hAnsi="XO Thames"/>
      <w:sz w:val="22"/>
    </w:rPr>
  </w:style>
  <w:style w:type="paragraph" w:styleId="14">
    <w:name w:val="toc 1"/>
    <w:next w:val="a"/>
    <w:link w:val="15"/>
    <w:uiPriority w:val="39"/>
    <w:rsid w:val="005D2ED9"/>
    <w:rPr>
      <w:rFonts w:ascii="XO Thames" w:hAnsi="XO Thames"/>
      <w:b/>
      <w:sz w:val="28"/>
    </w:rPr>
  </w:style>
  <w:style w:type="character" w:customStyle="1" w:styleId="15">
    <w:name w:val="Оглавление 1 Знак"/>
    <w:link w:val="14"/>
    <w:rsid w:val="005D2ED9"/>
    <w:rPr>
      <w:rFonts w:ascii="XO Thames" w:hAnsi="XO Thames"/>
      <w:b/>
      <w:sz w:val="28"/>
    </w:rPr>
  </w:style>
  <w:style w:type="paragraph" w:customStyle="1" w:styleId="HeaderandFooter">
    <w:name w:val="Header and Footer"/>
    <w:link w:val="HeaderandFooter0"/>
    <w:rsid w:val="005D2ED9"/>
    <w:pPr>
      <w:spacing w:line="240" w:lineRule="auto"/>
      <w:jc w:val="both"/>
    </w:pPr>
    <w:rPr>
      <w:rFonts w:ascii="XO Thames" w:hAnsi="XO Thames"/>
      <w:sz w:val="20"/>
    </w:rPr>
  </w:style>
  <w:style w:type="character" w:customStyle="1" w:styleId="HeaderandFooter0">
    <w:name w:val="Header and Footer"/>
    <w:link w:val="HeaderandFooter"/>
    <w:rsid w:val="005D2ED9"/>
    <w:rPr>
      <w:rFonts w:ascii="XO Thames" w:hAnsi="XO Thames"/>
      <w:sz w:val="20"/>
    </w:rPr>
  </w:style>
  <w:style w:type="paragraph" w:customStyle="1" w:styleId="word-wrapper">
    <w:name w:val="word-wrapper"/>
    <w:basedOn w:val="13"/>
    <w:link w:val="word-wrapper0"/>
    <w:rsid w:val="005D2ED9"/>
  </w:style>
  <w:style w:type="character" w:customStyle="1" w:styleId="word-wrapper0">
    <w:name w:val="word-wrapper"/>
    <w:basedOn w:val="a0"/>
    <w:link w:val="word-wrapper"/>
    <w:rsid w:val="005D2ED9"/>
  </w:style>
  <w:style w:type="paragraph" w:styleId="9">
    <w:name w:val="toc 9"/>
    <w:next w:val="a"/>
    <w:link w:val="90"/>
    <w:uiPriority w:val="39"/>
    <w:rsid w:val="005D2ED9"/>
    <w:pPr>
      <w:ind w:left="1600"/>
    </w:pPr>
    <w:rPr>
      <w:rFonts w:ascii="XO Thames" w:hAnsi="XO Thames"/>
      <w:sz w:val="28"/>
    </w:rPr>
  </w:style>
  <w:style w:type="character" w:customStyle="1" w:styleId="90">
    <w:name w:val="Оглавление 9 Знак"/>
    <w:link w:val="9"/>
    <w:rsid w:val="005D2ED9"/>
    <w:rPr>
      <w:rFonts w:ascii="XO Thames" w:hAnsi="XO Thames"/>
      <w:sz w:val="28"/>
    </w:rPr>
  </w:style>
  <w:style w:type="paragraph" w:styleId="8">
    <w:name w:val="toc 8"/>
    <w:next w:val="a"/>
    <w:link w:val="80"/>
    <w:uiPriority w:val="39"/>
    <w:rsid w:val="005D2ED9"/>
    <w:pPr>
      <w:ind w:left="1400"/>
    </w:pPr>
    <w:rPr>
      <w:rFonts w:ascii="XO Thames" w:hAnsi="XO Thames"/>
      <w:sz w:val="28"/>
    </w:rPr>
  </w:style>
  <w:style w:type="character" w:customStyle="1" w:styleId="80">
    <w:name w:val="Оглавление 8 Знак"/>
    <w:link w:val="8"/>
    <w:rsid w:val="005D2ED9"/>
    <w:rPr>
      <w:rFonts w:ascii="XO Thames" w:hAnsi="XO Thames"/>
      <w:sz w:val="28"/>
    </w:rPr>
  </w:style>
  <w:style w:type="paragraph" w:styleId="51">
    <w:name w:val="toc 5"/>
    <w:next w:val="a"/>
    <w:link w:val="52"/>
    <w:uiPriority w:val="39"/>
    <w:rsid w:val="005D2ED9"/>
    <w:pPr>
      <w:ind w:left="800"/>
    </w:pPr>
    <w:rPr>
      <w:rFonts w:ascii="XO Thames" w:hAnsi="XO Thames"/>
      <w:sz w:val="28"/>
    </w:rPr>
  </w:style>
  <w:style w:type="character" w:customStyle="1" w:styleId="52">
    <w:name w:val="Оглавление 5 Знак"/>
    <w:link w:val="51"/>
    <w:rsid w:val="005D2ED9"/>
    <w:rPr>
      <w:rFonts w:ascii="XO Thames" w:hAnsi="XO Thames"/>
      <w:sz w:val="28"/>
    </w:rPr>
  </w:style>
  <w:style w:type="paragraph" w:customStyle="1" w:styleId="13">
    <w:name w:val="Основной шрифт абзаца1"/>
    <w:rsid w:val="005D2ED9"/>
  </w:style>
  <w:style w:type="paragraph" w:styleId="a6">
    <w:name w:val="List Paragraph"/>
    <w:basedOn w:val="a"/>
    <w:link w:val="a7"/>
    <w:rsid w:val="005D2ED9"/>
    <w:pPr>
      <w:ind w:left="720"/>
      <w:contextualSpacing/>
    </w:pPr>
  </w:style>
  <w:style w:type="character" w:customStyle="1" w:styleId="a7">
    <w:name w:val="Абзац списка Знак"/>
    <w:basedOn w:val="1"/>
    <w:link w:val="a6"/>
    <w:rsid w:val="005D2ED9"/>
    <w:rPr>
      <w:rFonts w:ascii="Times New Roman" w:hAnsi="Times New Roman"/>
      <w:sz w:val="20"/>
    </w:rPr>
  </w:style>
  <w:style w:type="paragraph" w:styleId="a8">
    <w:name w:val="Subtitle"/>
    <w:next w:val="a"/>
    <w:link w:val="a9"/>
    <w:uiPriority w:val="11"/>
    <w:qFormat/>
    <w:rsid w:val="005D2ED9"/>
    <w:pPr>
      <w:jc w:val="both"/>
    </w:pPr>
    <w:rPr>
      <w:rFonts w:ascii="XO Thames" w:hAnsi="XO Thames"/>
      <w:i/>
      <w:sz w:val="24"/>
    </w:rPr>
  </w:style>
  <w:style w:type="character" w:customStyle="1" w:styleId="a9">
    <w:name w:val="Подзаголовок Знак"/>
    <w:link w:val="a8"/>
    <w:rsid w:val="005D2ED9"/>
    <w:rPr>
      <w:rFonts w:ascii="XO Thames" w:hAnsi="XO Thames"/>
      <w:i/>
      <w:sz w:val="24"/>
    </w:rPr>
  </w:style>
  <w:style w:type="paragraph" w:styleId="aa">
    <w:name w:val="Title"/>
    <w:next w:val="a"/>
    <w:link w:val="ab"/>
    <w:uiPriority w:val="10"/>
    <w:qFormat/>
    <w:rsid w:val="005D2ED9"/>
    <w:pPr>
      <w:spacing w:before="567" w:after="567"/>
      <w:jc w:val="center"/>
    </w:pPr>
    <w:rPr>
      <w:rFonts w:ascii="XO Thames" w:hAnsi="XO Thames"/>
      <w:b/>
      <w:caps/>
      <w:sz w:val="40"/>
    </w:rPr>
  </w:style>
  <w:style w:type="character" w:customStyle="1" w:styleId="ab">
    <w:name w:val="Название Знак"/>
    <w:link w:val="aa"/>
    <w:rsid w:val="005D2ED9"/>
    <w:rPr>
      <w:rFonts w:ascii="XO Thames" w:hAnsi="XO Thames"/>
      <w:b/>
      <w:caps/>
      <w:sz w:val="40"/>
    </w:rPr>
  </w:style>
  <w:style w:type="character" w:customStyle="1" w:styleId="40">
    <w:name w:val="Заголовок 4 Знак"/>
    <w:link w:val="4"/>
    <w:rsid w:val="005D2ED9"/>
    <w:rPr>
      <w:rFonts w:ascii="XO Thames" w:hAnsi="XO Thames"/>
      <w:b/>
      <w:sz w:val="24"/>
    </w:rPr>
  </w:style>
  <w:style w:type="paragraph" w:styleId="ac">
    <w:name w:val="header"/>
    <w:basedOn w:val="a"/>
    <w:link w:val="ad"/>
    <w:rsid w:val="005D2ED9"/>
    <w:pPr>
      <w:tabs>
        <w:tab w:val="center" w:pos="4677"/>
        <w:tab w:val="right" w:pos="9355"/>
      </w:tabs>
    </w:pPr>
  </w:style>
  <w:style w:type="character" w:customStyle="1" w:styleId="ad">
    <w:name w:val="Верхний колонтитул Знак"/>
    <w:basedOn w:val="1"/>
    <w:link w:val="ac"/>
    <w:rsid w:val="005D2ED9"/>
    <w:rPr>
      <w:rFonts w:ascii="Times New Roman" w:hAnsi="Times New Roman"/>
      <w:sz w:val="20"/>
    </w:rPr>
  </w:style>
  <w:style w:type="character" w:customStyle="1" w:styleId="20">
    <w:name w:val="Заголовок 2 Знак"/>
    <w:link w:val="2"/>
    <w:rsid w:val="005D2ED9"/>
    <w:rPr>
      <w:rFonts w:ascii="XO Thames" w:hAnsi="XO Thames"/>
      <w:b/>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goszakupkib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1275</Words>
  <Characters>7272</Characters>
  <Application>Microsoft Office Word</Application>
  <DocSecurity>0</DocSecurity>
  <Lines>60</Lines>
  <Paragraphs>17</Paragraphs>
  <ScaleCrop>false</ScaleCrop>
  <Company>diakov.net</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Юрчак Е.В.</dc:creator>
  <cp:lastModifiedBy>User_eco507</cp:lastModifiedBy>
  <cp:revision>2</cp:revision>
  <dcterms:created xsi:type="dcterms:W3CDTF">2022-11-17T14:21:00Z</dcterms:created>
  <dcterms:modified xsi:type="dcterms:W3CDTF">2022-11-17T14:21:00Z</dcterms:modified>
</cp:coreProperties>
</file>